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18" w:rsidRDefault="00AD1E03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1BD2EB1" wp14:editId="0DBFD67E">
            <wp:extent cx="4572000" cy="5308270"/>
            <wp:effectExtent l="0" t="0" r="19050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AD1E03">
        <w:rPr>
          <w:noProof/>
          <w:lang w:eastAsia="ru-RU"/>
        </w:rPr>
        <w:t xml:space="preserve"> </w:t>
      </w:r>
      <w:bookmarkStart w:id="0" w:name="_GoBack"/>
      <w:r>
        <w:rPr>
          <w:noProof/>
          <w:lang w:eastAsia="ru-RU"/>
        </w:rPr>
        <w:drawing>
          <wp:inline distT="0" distB="0" distL="0" distR="0" wp14:anchorId="4F0A1DC2" wp14:editId="5A3CE70A">
            <wp:extent cx="4572000" cy="5308270"/>
            <wp:effectExtent l="0" t="0" r="19050" b="2603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E30318" w:rsidSect="00AD1E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03"/>
    <w:rsid w:val="0038571B"/>
    <w:rsid w:val="00AD1E03"/>
    <w:rsid w:val="00E3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800">
                <a:latin typeface="+mn-lt"/>
              </a:defRPr>
            </a:pPr>
            <a:r>
              <a:rPr lang="ru-RU" sz="1800">
                <a:latin typeface="+mn-lt"/>
              </a:rPr>
              <a:t>Психодиагностика</a:t>
            </a:r>
            <a:r>
              <a:rPr lang="ru-RU" sz="1800" baseline="0">
                <a:latin typeface="+mn-lt"/>
              </a:rPr>
              <a:t> </a:t>
            </a:r>
          </a:p>
          <a:p>
            <a:pPr>
              <a:defRPr sz="1800">
                <a:latin typeface="+mn-lt"/>
              </a:defRPr>
            </a:pPr>
            <a:r>
              <a:rPr lang="ru-RU" sz="1800" baseline="0">
                <a:latin typeface="+mn-lt"/>
              </a:rPr>
              <a:t>2010-2011уч. год</a:t>
            </a:r>
            <a:endParaRPr lang="ru-RU" sz="1800">
              <a:latin typeface="+mn-lt"/>
            </a:endParaRP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07174103237096E-2"/>
          <c:y val="0.12214982578068996"/>
          <c:w val="0.88337270341207352"/>
          <c:h val="0.81796827974562758"/>
        </c:manualLayout>
      </c:layout>
      <c:bar3DChart>
        <c:barDir val="col"/>
        <c:grouping val="standar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Лист3!$A$1:$A$3</c:f>
              <c:strCache>
                <c:ptCount val="3"/>
                <c:pt idx="0">
                  <c:v>взрослые</c:v>
                </c:pt>
                <c:pt idx="1">
                  <c:v>дети</c:v>
                </c:pt>
                <c:pt idx="2">
                  <c:v>всего</c:v>
                </c:pt>
              </c:strCache>
            </c:strRef>
          </c:cat>
          <c:val>
            <c:numRef>
              <c:f>Лист3!$B$1:$B$3</c:f>
              <c:numCache>
                <c:formatCode>General</c:formatCode>
                <c:ptCount val="3"/>
                <c:pt idx="0">
                  <c:v>39</c:v>
                </c:pt>
                <c:pt idx="1">
                  <c:v>70</c:v>
                </c:pt>
                <c:pt idx="2">
                  <c:v>109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0673792"/>
        <c:axId val="100718080"/>
        <c:axId val="98110976"/>
      </c:bar3DChart>
      <c:catAx>
        <c:axId val="1006737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100718080"/>
        <c:crosses val="autoZero"/>
        <c:auto val="1"/>
        <c:lblAlgn val="ctr"/>
        <c:lblOffset val="100"/>
        <c:noMultiLvlLbl val="0"/>
      </c:catAx>
      <c:valAx>
        <c:axId val="100718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100673792"/>
        <c:crosses val="autoZero"/>
        <c:crossBetween val="between"/>
      </c:valAx>
      <c:serAx>
        <c:axId val="98110976"/>
        <c:scaling>
          <c:orientation val="minMax"/>
        </c:scaling>
        <c:delete val="1"/>
        <c:axPos val="b"/>
        <c:majorTickMark val="out"/>
        <c:minorTickMark val="none"/>
        <c:tickLblPos val="nextTo"/>
        <c:crossAx val="100718080"/>
        <c:crosses val="autoZero"/>
      </c:ser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800"/>
            </a:pPr>
            <a:r>
              <a:rPr lang="ru-RU" sz="1800"/>
              <a:t>Психодиагностика</a:t>
            </a:r>
          </a:p>
          <a:p>
            <a:pPr>
              <a:defRPr sz="1800"/>
            </a:pPr>
            <a:r>
              <a:rPr lang="ru-RU" sz="1800"/>
              <a:t>2011-2012уч.</a:t>
            </a:r>
            <a:r>
              <a:rPr lang="ru-RU" sz="1800" baseline="0"/>
              <a:t> год</a:t>
            </a:r>
            <a:endParaRPr lang="ru-RU" sz="1800"/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07174103237096E-2"/>
          <c:y val="0.12214982578068996"/>
          <c:w val="0.88337270341207352"/>
          <c:h val="0.81796827974562758"/>
        </c:manualLayout>
      </c:layout>
      <c:bar3DChart>
        <c:barDir val="col"/>
        <c:grouping val="standar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7777777777777523E-3"/>
                  <c:y val="-1.4354959337034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7777777777777779E-3"/>
                  <c:y val="-2.1532439005551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Лист1!$A$1:$A$3</c:f>
              <c:strCache>
                <c:ptCount val="3"/>
                <c:pt idx="0">
                  <c:v>взрослые</c:v>
                </c:pt>
                <c:pt idx="1">
                  <c:v>дети</c:v>
                </c:pt>
                <c:pt idx="2">
                  <c:v>всего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380</c:v>
                </c:pt>
                <c:pt idx="1">
                  <c:v>170</c:v>
                </c:pt>
                <c:pt idx="2">
                  <c:v>550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046848"/>
        <c:axId val="136148096"/>
        <c:axId val="98163328"/>
      </c:bar3DChart>
      <c:catAx>
        <c:axId val="1360468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136148096"/>
        <c:crosses val="autoZero"/>
        <c:auto val="1"/>
        <c:lblAlgn val="ctr"/>
        <c:lblOffset val="100"/>
        <c:noMultiLvlLbl val="0"/>
      </c:catAx>
      <c:valAx>
        <c:axId val="136148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/>
            </a:pPr>
            <a:endParaRPr lang="ru-RU"/>
          </a:p>
        </c:txPr>
        <c:crossAx val="136046848"/>
        <c:crosses val="autoZero"/>
        <c:crossBetween val="between"/>
      </c:valAx>
      <c:serAx>
        <c:axId val="98163328"/>
        <c:scaling>
          <c:orientation val="minMax"/>
        </c:scaling>
        <c:delete val="1"/>
        <c:axPos val="b"/>
        <c:majorTickMark val="out"/>
        <c:minorTickMark val="none"/>
        <c:tickLblPos val="nextTo"/>
        <c:crossAx val="136148096"/>
        <c:crosses val="autoZero"/>
      </c:ser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</dc:creator>
  <cp:lastModifiedBy>Аутлева</cp:lastModifiedBy>
  <cp:revision>2</cp:revision>
  <dcterms:created xsi:type="dcterms:W3CDTF">2012-07-19T10:38:00Z</dcterms:created>
  <dcterms:modified xsi:type="dcterms:W3CDTF">2012-07-25T11:29:00Z</dcterms:modified>
</cp:coreProperties>
</file>